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p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sz w:val="24"/>
          <w:szCs w:val="24"/>
          <w:lang w:val="it-IT"/>
        </w:rPr>
        <w:tab/>
      </w:r>
      <w:r>
        <w:rPr>
          <w:rFonts w:ascii="Arial" w:hAnsi="Arial" w:cs="Arial"/>
          <w:b/>
          <w:lang w:val="it-IT"/>
        </w:rPr>
        <w:t xml:space="preserve">MODELLO OFFERTA ECONOMICA </w:t>
      </w:r>
    </w:p>
    <w:p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PROCEDURA APERTA PER L’AFFIDAMENTO DEL SERVIZIO DI TESORERIA </w:t>
      </w:r>
    </w:p>
    <w:p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PER ASL CN1 E A.O. SANTA CROCE E CARLE</w:t>
      </w:r>
    </w:p>
    <w:p>
      <w:pPr>
        <w:jc w:val="center"/>
        <w:rPr>
          <w:b/>
          <w:lang w:val="it-IT"/>
        </w:rPr>
      </w:pPr>
    </w:p>
    <w:p>
      <w:pPr>
        <w:jc w:val="center"/>
        <w:rPr>
          <w:b/>
          <w:lang w:val="it-IT"/>
        </w:rPr>
      </w:pPr>
    </w:p>
    <w:p>
      <w:pPr>
        <w:spacing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Il sottoscritto ............................... nato a..................................il...........................in qualità di legale rappresentante/procuratore dell’Istituto di Credito.............................................................................. </w:t>
      </w:r>
      <w:bookmarkStart w:id="0" w:name="_GoBack"/>
      <w:bookmarkEnd w:id="0"/>
      <w:r>
        <w:rPr>
          <w:rFonts w:ascii="Arial" w:hAnsi="Arial" w:cs="Arial"/>
          <w:lang w:val="it-IT"/>
        </w:rPr>
        <w:t>dichiara di offrire le seguenti condizioni economiche per la gara in oggetto:</w:t>
      </w:r>
    </w:p>
    <w:p>
      <w:pPr>
        <w:rPr>
          <w:rFonts w:ascii="Arial" w:hAnsi="Arial" w:cs="Arial"/>
          <w:lang w:val="it-IT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5261"/>
        <w:gridCol w:w="2961"/>
      </w:tblGrid>
      <w:tr>
        <w:tc>
          <w:tcPr>
            <w:tcW w:w="879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61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di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interesse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passivo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applicarsi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alle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anticipazioni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ordinarie</w:t>
            </w:r>
            <w:proofErr w:type="spellEnd"/>
          </w:p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spread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aumento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diminuzione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a 3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mesi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base 360 gg.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caso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negativo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dovrà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essere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applicato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floor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sullo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spread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261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di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interesse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passivo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applicarsi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alle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anticipazioni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straordinarie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spread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aumento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diminuzione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a 3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mesi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base 360 gg.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caso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negativo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dovrà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essere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applicato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floor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sullo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spread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261" w:type="dxa"/>
          </w:tcPr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di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interesse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attivo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giacenze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cassa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depositate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conto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corrente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soggette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alla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della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Tesoreria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Unica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di cui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alla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L. 720/1994</w:t>
            </w:r>
          </w:p>
          <w:p>
            <w:pPr>
              <w:widowControl/>
              <w:tabs>
                <w:tab w:val="left" w:pos="540"/>
              </w:tabs>
              <w:autoSpaceDE w:val="0"/>
              <w:autoSpaceDN w:val="0"/>
              <w:adjustRightInd w:val="0"/>
              <w:spacing w:before="120" w:line="26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spread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aumento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diminuzione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a 3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mesi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base 360 gg.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caso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Euribor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negativo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dovrà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essere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applicato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floor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sullo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spread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</w:t>
            </w:r>
          </w:p>
        </w:tc>
        <w:tc>
          <w:tcPr>
            <w:tcW w:w="5261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Commissione sul transato a mezzo Bancomat</w:t>
            </w:r>
          </w:p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</w:p>
          <w:p>
            <w:pPr>
              <w:pStyle w:val="PS"/>
              <w:widowControl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</w:t>
            </w:r>
          </w:p>
        </w:tc>
        <w:tc>
          <w:tcPr>
            <w:tcW w:w="5261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Commissione sul transato a mezzo Carte di Credito e BancoPosta</w:t>
            </w:r>
          </w:p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</w:t>
            </w:r>
          </w:p>
        </w:tc>
        <w:tc>
          <w:tcPr>
            <w:tcW w:w="5261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Compenso annuo per la gestione del servizio di tesoreria e servizi accessori ASL CN1</w:t>
            </w:r>
          </w:p>
          <w:p>
            <w:pPr>
              <w:pStyle w:val="PS"/>
              <w:widowControl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(importo non superabile € 80.000,00)</w:t>
            </w: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w="879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</w:p>
        </w:tc>
        <w:tc>
          <w:tcPr>
            <w:tcW w:w="5261" w:type="dxa"/>
          </w:tcPr>
          <w:p>
            <w:pPr>
              <w:pStyle w:val="PS"/>
              <w:widowControl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Compenso annuo per la gestione del servizio di tesoreria e servizi accessori A.O. Santa Croce e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Carle</w:t>
            </w:r>
            <w:proofErr w:type="spellEnd"/>
          </w:p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 w:cs="Arial"/>
                <w:sz w:val="20"/>
              </w:rPr>
              <w:t>(importo non superabile € 40.000,00)</w:t>
            </w:r>
          </w:p>
        </w:tc>
        <w:tc>
          <w:tcPr>
            <w:tcW w:w="2961" w:type="dxa"/>
          </w:tcPr>
          <w:p>
            <w:pPr>
              <w:pStyle w:val="PS"/>
              <w:widowControl/>
              <w:rPr>
                <w:rFonts w:ascii="Times New Roman" w:hAnsi="Times New Roman"/>
                <w:sz w:val="20"/>
              </w:rPr>
            </w:pPr>
          </w:p>
        </w:tc>
      </w:tr>
    </w:tbl>
    <w:p>
      <w:pPr>
        <w:rPr>
          <w:lang w:val="it-IT"/>
        </w:rPr>
      </w:pPr>
    </w:p>
    <w:p>
      <w:pPr>
        <w:ind w:left="360"/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szCs w:val="24"/>
          <w:lang w:val="it-IT" w:eastAsia="it-IT"/>
        </w:rPr>
        <w:t>Luogo e data                                                                                              l Legale Rappresentante/Procuratore</w:t>
      </w:r>
      <w:r>
        <w:rPr>
          <w:rStyle w:val="Rimandonotaapidipagina"/>
          <w:rFonts w:ascii="Times New Roman" w:eastAsia="Times New Roman" w:hAnsi="Times New Roman" w:cs="Times New Roman"/>
          <w:szCs w:val="24"/>
          <w:lang w:val="it-IT" w:eastAsia="it-IT"/>
        </w:rPr>
        <w:footnoteReference w:id="1"/>
      </w: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  <w:t xml:space="preserve">       (firmato digitalmente)</w:t>
      </w: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  <w:r>
        <w:rPr>
          <w:rFonts w:ascii="Times New Roman" w:eastAsia="Times New Roman" w:hAnsi="Times New Roman" w:cs="Times New Roman"/>
          <w:szCs w:val="24"/>
          <w:lang w:val="it-IT" w:eastAsia="it-IT"/>
        </w:rPr>
        <w:tab/>
      </w: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</w:p>
    <w:p>
      <w:pPr>
        <w:jc w:val="both"/>
        <w:rPr>
          <w:rFonts w:ascii="Times New Roman" w:eastAsia="Times New Roman" w:hAnsi="Times New Roman" w:cs="Times New Roman"/>
          <w:szCs w:val="24"/>
          <w:lang w:val="it-IT" w:eastAsia="it-IT"/>
        </w:rPr>
      </w:pPr>
    </w:p>
    <w:sect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Il </w:t>
      </w:r>
      <w:proofErr w:type="spellStart"/>
      <w:r>
        <w:t>Procuratore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legittimato</w:t>
      </w:r>
      <w:proofErr w:type="spellEnd"/>
      <w:r>
        <w:t xml:space="preserve"> da</w:t>
      </w:r>
      <w:r>
        <w:rPr>
          <w:lang w:val="it-IT"/>
        </w:rPr>
        <w:t xml:space="preserve"> atto di delega prodotta in sede di gara unitamente </w:t>
      </w:r>
      <w:proofErr w:type="gramStart"/>
      <w:r>
        <w:rPr>
          <w:lang w:val="it-IT"/>
        </w:rPr>
        <w:t>a  dichiarazione</w:t>
      </w:r>
      <w:proofErr w:type="gramEnd"/>
      <w:r>
        <w:rPr>
          <w:lang w:val="it-IT"/>
        </w:rPr>
        <w:t xml:space="preserve"> di conformità all’originale e documento d’identità del Legale rappresentante delegante.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1A"/>
    <w:multiLevelType w:val="hybridMultilevel"/>
    <w:tmpl w:val="B2F03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110E3"/>
    <w:multiLevelType w:val="hybridMultilevel"/>
    <w:tmpl w:val="2C2AD694"/>
    <w:lvl w:ilvl="0" w:tplc="8780BCCC">
      <w:start w:val="1"/>
      <w:numFmt w:val="decimal"/>
      <w:lvlText w:val="%1) "/>
      <w:lvlJc w:val="left"/>
      <w:pPr>
        <w:tabs>
          <w:tab w:val="num" w:pos="567"/>
        </w:tabs>
        <w:ind w:left="567" w:hanging="567"/>
      </w:pPr>
      <w:rPr>
        <w:rFonts w:ascii="Arial" w:hAnsi="Arial" w:cs="New York" w:hint="default"/>
        <w:b w:val="0"/>
        <w:i w:val="0"/>
        <w:sz w:val="24"/>
        <w:szCs w:val="24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85588A"/>
    <w:multiLevelType w:val="hybridMultilevel"/>
    <w:tmpl w:val="C01C80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84AC0"/>
    <w:multiLevelType w:val="hybridMultilevel"/>
    <w:tmpl w:val="E9F2A854"/>
    <w:lvl w:ilvl="0" w:tplc="F8A44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CA27E9"/>
    <w:multiLevelType w:val="hybridMultilevel"/>
    <w:tmpl w:val="399EE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F12FD"/>
    <w:multiLevelType w:val="hybridMultilevel"/>
    <w:tmpl w:val="EEE67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2DD9C-4EFD-44F5-98EE-89564A6F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6"/>
    </w:pPr>
    <w:rPr>
      <w:rFonts w:ascii="Liberation Serif" w:eastAsia="Liberation Serif" w:hAnsi="Liberation Serif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Liberation Serif" w:eastAsia="Liberation Serif" w:hAnsi="Liberation Serif"/>
      <w:sz w:val="20"/>
      <w:szCs w:val="20"/>
      <w:lang w:val="en-US"/>
    </w:rPr>
  </w:style>
  <w:style w:type="table" w:styleId="Grigliatabella">
    <w:name w:val="Table Grid"/>
    <w:basedOn w:val="Tabellanormale"/>
    <w:uiPriority w:val="5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lang w:val="en-US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PS">
    <w:name w:val="PS"/>
    <w:pPr>
      <w:widowControl w:val="0"/>
      <w:spacing w:after="0" w:line="24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2B3DD-D699-40B7-9373-69416940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Torrisi</dc:creator>
  <cp:lastModifiedBy>Maura Acchiardi</cp:lastModifiedBy>
  <cp:revision>6</cp:revision>
  <dcterms:created xsi:type="dcterms:W3CDTF">2020-12-14T14:03:00Z</dcterms:created>
  <dcterms:modified xsi:type="dcterms:W3CDTF">2020-12-22T08:31:00Z</dcterms:modified>
</cp:coreProperties>
</file>